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400" w:type="dxa"/>
        <w:jc w:val="center"/>
        <w:tblCellSpacing w:w="0" w:type="dxa"/>
        <w:tblCellMar>
          <w:left w:w="0" w:type="dxa"/>
          <w:right w:w="0" w:type="dxa"/>
        </w:tblCellMar>
        <w:tblLook w:val="04A0" w:firstRow="1" w:lastRow="0" w:firstColumn="1" w:lastColumn="0" w:noHBand="0" w:noVBand="1"/>
      </w:tblPr>
      <w:tblGrid>
        <w:gridCol w:w="9360"/>
      </w:tblGrid>
      <w:tr w:rsidR="00B03233" w14:paraId="70D7E931" w14:textId="77777777" w:rsidTr="00B03233">
        <w:trPr>
          <w:tblCellSpacing w:w="0" w:type="dxa"/>
          <w:jc w:val="center"/>
        </w:trPr>
        <w:tc>
          <w:tcPr>
            <w:tcW w:w="0" w:type="auto"/>
            <w:vAlign w:val="center"/>
            <w:hideMark/>
          </w:tcPr>
          <w:p w14:paraId="0E611716" w14:textId="77777777" w:rsidR="00B03233" w:rsidRDefault="00B03233">
            <w:pPr>
              <w:pStyle w:val="NormalWeb"/>
            </w:pPr>
            <w:r>
              <w:t> </w:t>
            </w:r>
          </w:p>
          <w:tbl>
            <w:tblPr>
              <w:tblW w:w="9000" w:type="dxa"/>
              <w:jc w:val="center"/>
              <w:tblCellSpacing w:w="0" w:type="dxa"/>
              <w:tblCellMar>
                <w:left w:w="0" w:type="dxa"/>
                <w:right w:w="0" w:type="dxa"/>
              </w:tblCellMar>
              <w:tblLook w:val="04A0" w:firstRow="1" w:lastRow="0" w:firstColumn="1" w:lastColumn="0" w:noHBand="0" w:noVBand="1"/>
            </w:tblPr>
            <w:tblGrid>
              <w:gridCol w:w="9360"/>
            </w:tblGrid>
            <w:tr w:rsidR="00B03233" w14:paraId="7234F14C" w14:textId="77777777">
              <w:trPr>
                <w:tblCellSpacing w:w="0" w:type="dxa"/>
                <w:jc w:val="center"/>
              </w:trPr>
              <w:tc>
                <w:tcPr>
                  <w:tcW w:w="0" w:type="auto"/>
                  <w:vAlign w:val="center"/>
                  <w:hideMark/>
                </w:tcPr>
                <w:p w14:paraId="3DBF6290" w14:textId="77777777" w:rsidR="00B03233" w:rsidRDefault="00B03233">
                  <w:r>
                    <w:t> </w:t>
                  </w:r>
                  <w:r>
                    <w:rPr>
                      <w:noProof/>
                    </w:rPr>
                    <w:drawing>
                      <wp:inline distT="0" distB="0" distL="0" distR="0" wp14:anchorId="4BDB5A41" wp14:editId="392246FB">
                        <wp:extent cx="6076950" cy="1343025"/>
                        <wp:effectExtent l="0" t="0" r="0" b="9525"/>
                        <wp:docPr id="8" name="Picture 8" descr="60x30TX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0x30TX Pla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76950" cy="1343025"/>
                                </a:xfrm>
                                <a:prstGeom prst="rect">
                                  <a:avLst/>
                                </a:prstGeom>
                                <a:noFill/>
                                <a:ln>
                                  <a:noFill/>
                                </a:ln>
                              </pic:spPr>
                            </pic:pic>
                          </a:graphicData>
                        </a:graphic>
                      </wp:inline>
                    </w:drawing>
                  </w:r>
                  <w:r>
                    <w:rPr>
                      <w:rFonts w:ascii="Helvetica" w:hAnsi="Helvetica" w:cs="Helvetica"/>
                    </w:rPr>
                    <w:t xml:space="preserve">Having trouble viewing this email? </w:t>
                  </w:r>
                  <w:hyperlink r:id="rId5" w:history="1">
                    <w:r>
                      <w:rPr>
                        <w:rStyle w:val="Hyperlink"/>
                        <w:rFonts w:ascii="Helvetica" w:hAnsi="Helvetica" w:cs="Helvetica"/>
                      </w:rPr>
                      <w:t>View it as a Web page</w:t>
                    </w:r>
                  </w:hyperlink>
                  <w:r>
                    <w:rPr>
                      <w:rFonts w:ascii="Helvetica" w:hAnsi="Helvetica" w:cs="Helvetica"/>
                    </w:rPr>
                    <w:t>.</w:t>
                  </w:r>
                  <w:r>
                    <w:t xml:space="preserve"> </w:t>
                  </w:r>
                </w:p>
              </w:tc>
            </w:tr>
          </w:tbl>
          <w:p w14:paraId="7419D948" w14:textId="77777777" w:rsidR="00B03233" w:rsidRDefault="00B03233">
            <w:pPr>
              <w:pStyle w:val="Heading2"/>
              <w:rPr>
                <w:rFonts w:eastAsia="Times New Roman"/>
              </w:rPr>
            </w:pPr>
            <w:r>
              <w:rPr>
                <w:rStyle w:val="Strong"/>
                <w:rFonts w:eastAsia="Times New Roman"/>
                <w:b/>
                <w:bCs/>
                <w:u w:val="single"/>
              </w:rPr>
              <w:t>Reminder about TSI Assessment Benchmarks</w:t>
            </w:r>
          </w:p>
          <w:p w14:paraId="1EB195EC" w14:textId="77777777" w:rsidR="00B03233" w:rsidRDefault="00B03233">
            <w:pPr>
              <w:pStyle w:val="NormalWeb"/>
            </w:pPr>
            <w:r>
              <w:t>THECB recently approved an amendment to TSI rules to remove all language related to “phase-in” scores of the TSI Assessment (TSIA) college readiness benchmarks. Instead, we are awaiting the results of the TSIA validation study to help determine whether the college readiness benchmarks will change. Once recommendations are made, there will be a 30-day public comment period with the board making its final consideration for approval at its summer meeting.</w:t>
            </w:r>
          </w:p>
          <w:p w14:paraId="1DD12E77" w14:textId="77777777" w:rsidR="00B03233" w:rsidRDefault="00B03233">
            <w:pPr>
              <w:pStyle w:val="NormalWeb"/>
            </w:pPr>
            <w:r>
              <w:t>Meanwhile, please note that the benchmarks in place on the date a student tests are the ones that should be used to determine that student's college readiness.  For example, if a student tests today on the TSIA-math portion and scores a 350, that student is considered college ready in math. </w:t>
            </w:r>
            <w:r>
              <w:rPr>
                <w:rStyle w:val="Strong"/>
                <w:u w:val="single"/>
              </w:rPr>
              <w:t>Students should not be directed to retest if they have met the current college readiness benchmarks since TSIA results are valid five (5) years from date of testing.</w:t>
            </w:r>
            <w:r>
              <w:t xml:space="preserve"> Please ensure all TSI testing personnel, counselors, advisors, and other applicable support staff are immediately informed of this policy.</w:t>
            </w:r>
          </w:p>
          <w:p w14:paraId="7CF059C0" w14:textId="77777777" w:rsidR="00B03233" w:rsidRDefault="00B03233">
            <w:pPr>
              <w:pStyle w:val="Heading2"/>
              <w:rPr>
                <w:rFonts w:eastAsia="Times New Roman"/>
              </w:rPr>
            </w:pPr>
            <w:r>
              <w:rPr>
                <w:rStyle w:val="Strong"/>
                <w:rFonts w:eastAsia="Times New Roman"/>
                <w:b/>
                <w:bCs/>
              </w:rPr>
              <w:t xml:space="preserve">Questions </w:t>
            </w:r>
            <w:proofErr w:type="gramStart"/>
            <w:r>
              <w:rPr>
                <w:rStyle w:val="Strong"/>
                <w:rFonts w:eastAsia="Times New Roman"/>
                <w:b/>
                <w:bCs/>
              </w:rPr>
              <w:t>About</w:t>
            </w:r>
            <w:proofErr w:type="gramEnd"/>
            <w:r>
              <w:rPr>
                <w:rStyle w:val="Strong"/>
                <w:rFonts w:eastAsia="Times New Roman"/>
                <w:b/>
                <w:bCs/>
              </w:rPr>
              <w:t xml:space="preserve"> This Update?</w:t>
            </w:r>
          </w:p>
          <w:p w14:paraId="2BB028BE" w14:textId="77777777" w:rsidR="00B03233" w:rsidRDefault="00B03233">
            <w:pPr>
              <w:pStyle w:val="NormalWeb"/>
            </w:pPr>
            <w:r>
              <w:t xml:space="preserve">Contact Kathy at </w:t>
            </w:r>
            <w:hyperlink r:id="rId6" w:history="1">
              <w:r>
                <w:rPr>
                  <w:rStyle w:val="Hyperlink"/>
                  <w:b/>
                  <w:bCs/>
                </w:rPr>
                <w:t>Kathy.Zarate@thecb.state.tx.us</w:t>
              </w:r>
            </w:hyperlink>
            <w:r>
              <w:rPr>
                <w:rStyle w:val="Strong"/>
              </w:rPr>
              <w:t>.</w:t>
            </w:r>
          </w:p>
          <w:tbl>
            <w:tblPr>
              <w:tblW w:w="9000" w:type="dxa"/>
              <w:jc w:val="center"/>
              <w:tblCellSpacing w:w="0" w:type="dxa"/>
              <w:tblCellMar>
                <w:left w:w="0" w:type="dxa"/>
                <w:right w:w="0" w:type="dxa"/>
              </w:tblCellMar>
              <w:tblLook w:val="04A0" w:firstRow="1" w:lastRow="0" w:firstColumn="1" w:lastColumn="0" w:noHBand="0" w:noVBand="1"/>
            </w:tblPr>
            <w:tblGrid>
              <w:gridCol w:w="7260"/>
              <w:gridCol w:w="1740"/>
            </w:tblGrid>
            <w:tr w:rsidR="00B03233" w14:paraId="49AAD634" w14:textId="77777777">
              <w:trPr>
                <w:gridAfter w:val="1"/>
                <w:wAfter w:w="8520" w:type="dxa"/>
                <w:trHeight w:val="300"/>
                <w:tblCellSpacing w:w="0" w:type="dxa"/>
                <w:jc w:val="center"/>
              </w:trPr>
              <w:tc>
                <w:tcPr>
                  <w:tcW w:w="0" w:type="auto"/>
                  <w:vAlign w:val="center"/>
                  <w:hideMark/>
                </w:tcPr>
                <w:p w14:paraId="2017BC98" w14:textId="77777777" w:rsidR="00B03233" w:rsidRDefault="00B03233">
                  <w:pPr>
                    <w:jc w:val="center"/>
                    <w:rPr>
                      <w:rFonts w:eastAsia="Times New Roman"/>
                    </w:rPr>
                  </w:pPr>
                  <w:r>
                    <w:rPr>
                      <w:rFonts w:eastAsia="Times New Roman"/>
                    </w:rPr>
                    <w:pict w14:anchorId="7309DD14">
                      <v:rect id="_x0000_i1026" style="width:468pt;height:2.25pt" o:hralign="center" o:hrstd="t" o:hr="t" fillcolor="#a0a0a0" stroked="f"/>
                    </w:pict>
                  </w:r>
                </w:p>
              </w:tc>
            </w:tr>
            <w:tr w:rsidR="00B03233" w14:paraId="10547F26" w14:textId="77777777">
              <w:trPr>
                <w:gridAfter w:val="1"/>
                <w:wAfter w:w="8520" w:type="dxa"/>
                <w:tblCellSpacing w:w="0" w:type="dxa"/>
                <w:jc w:val="center"/>
              </w:trPr>
              <w:tc>
                <w:tcPr>
                  <w:tcW w:w="0" w:type="auto"/>
                  <w:vAlign w:val="center"/>
                </w:tcPr>
                <w:tbl>
                  <w:tblPr>
                    <w:tblW w:w="6150" w:type="dxa"/>
                    <w:tblCellSpacing w:w="0" w:type="dxa"/>
                    <w:tblCellMar>
                      <w:left w:w="0" w:type="dxa"/>
                      <w:right w:w="0" w:type="dxa"/>
                    </w:tblCellMar>
                    <w:tblLook w:val="04A0" w:firstRow="1" w:lastRow="0" w:firstColumn="1" w:lastColumn="0" w:noHBand="0" w:noVBand="1"/>
                  </w:tblPr>
                  <w:tblGrid>
                    <w:gridCol w:w="2166"/>
                    <w:gridCol w:w="240"/>
                    <w:gridCol w:w="3744"/>
                  </w:tblGrid>
                  <w:tr w:rsidR="00B03233" w14:paraId="440CB994" w14:textId="77777777">
                    <w:trPr>
                      <w:tblCellSpacing w:w="0" w:type="dxa"/>
                    </w:trPr>
                    <w:tc>
                      <w:tcPr>
                        <w:tcW w:w="0" w:type="auto"/>
                        <w:vAlign w:val="center"/>
                        <w:hideMark/>
                      </w:tcPr>
                      <w:p w14:paraId="39E87191" w14:textId="77777777" w:rsidR="00B03233" w:rsidRDefault="00B03233">
                        <w:r>
                          <w:rPr>
                            <w:noProof/>
                            <w:color w:val="0000FF"/>
                          </w:rPr>
                          <w:drawing>
                            <wp:inline distT="0" distB="0" distL="0" distR="0" wp14:anchorId="5C73368F" wp14:editId="4B00F42D">
                              <wp:extent cx="923925" cy="476250"/>
                              <wp:effectExtent l="0" t="0" r="9525" b="0"/>
                              <wp:docPr id="7" name="Picture 7" descr="60 X 30 logo">
                                <a:hlinkClick xmlns:a="http://schemas.openxmlformats.org/drawingml/2006/main" r:id="rId7" tooltip="THECB Web Sit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0 X 30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476250"/>
                                      </a:xfrm>
                                      <a:prstGeom prst="rect">
                                        <a:avLst/>
                                      </a:prstGeom>
                                      <a:noFill/>
                                      <a:ln>
                                        <a:noFill/>
                                      </a:ln>
                                    </pic:spPr>
                                  </pic:pic>
                                </a:graphicData>
                              </a:graphic>
                            </wp:inline>
                          </w:drawing>
                        </w:r>
                      </w:p>
                    </w:tc>
                    <w:tc>
                      <w:tcPr>
                        <w:tcW w:w="240" w:type="dxa"/>
                        <w:vAlign w:val="center"/>
                        <w:hideMark/>
                      </w:tcPr>
                      <w:p w14:paraId="25599800" w14:textId="77777777" w:rsidR="00B03233" w:rsidRDefault="00B03233">
                        <w:pPr>
                          <w:pStyle w:val="NormalWeb"/>
                          <w:rPr>
                            <w:rFonts w:ascii="Arial" w:hAnsi="Arial" w:cs="Arial"/>
                            <w:color w:val="666666"/>
                            <w:sz w:val="18"/>
                            <w:szCs w:val="18"/>
                          </w:rPr>
                        </w:pPr>
                        <w:r>
                          <w:rPr>
                            <w:rFonts w:ascii="Arial" w:hAnsi="Arial" w:cs="Arial"/>
                            <w:color w:val="666666"/>
                            <w:sz w:val="18"/>
                            <w:szCs w:val="18"/>
                          </w:rPr>
                          <w:t> </w:t>
                        </w:r>
                      </w:p>
                    </w:tc>
                    <w:tc>
                      <w:tcPr>
                        <w:tcW w:w="3744" w:type="dxa"/>
                        <w:vAlign w:val="center"/>
                        <w:hideMark/>
                      </w:tcPr>
                      <w:p w14:paraId="7929070C" w14:textId="77777777" w:rsidR="00B03233" w:rsidRDefault="00B03233">
                        <w:pPr>
                          <w:pStyle w:val="NormalWeb"/>
                          <w:rPr>
                            <w:rFonts w:ascii="Arial" w:hAnsi="Arial" w:cs="Arial"/>
                            <w:color w:val="666666"/>
                            <w:sz w:val="18"/>
                            <w:szCs w:val="18"/>
                          </w:rPr>
                        </w:pPr>
                        <w:r>
                          <w:rPr>
                            <w:rFonts w:ascii="Arial" w:hAnsi="Arial" w:cs="Arial"/>
                            <w:color w:val="666666"/>
                            <w:sz w:val="18"/>
                            <w:szCs w:val="18"/>
                          </w:rPr>
                          <w:t xml:space="preserve"> Questions? </w:t>
                        </w:r>
                        <w:hyperlink r:id="rId9" w:history="1">
                          <w:r>
                            <w:rPr>
                              <w:rStyle w:val="Hyperlink"/>
                              <w:rFonts w:ascii="Arial" w:hAnsi="Arial" w:cs="Arial"/>
                              <w:sz w:val="18"/>
                              <w:szCs w:val="18"/>
                            </w:rPr>
                            <w:t>Contact us</w:t>
                          </w:r>
                        </w:hyperlink>
                      </w:p>
                      <w:p w14:paraId="36004967" w14:textId="77777777" w:rsidR="00B03233" w:rsidRDefault="00B03233">
                        <w:pPr>
                          <w:pStyle w:val="NormalWeb"/>
                          <w:rPr>
                            <w:rFonts w:ascii="Arial" w:hAnsi="Arial" w:cs="Arial"/>
                            <w:color w:val="666666"/>
                            <w:sz w:val="18"/>
                            <w:szCs w:val="18"/>
                          </w:rPr>
                        </w:pPr>
                        <w:r>
                          <w:rPr>
                            <w:rFonts w:ascii="Arial" w:hAnsi="Arial" w:cs="Arial"/>
                            <w:color w:val="666666"/>
                            <w:sz w:val="18"/>
                            <w:szCs w:val="18"/>
                          </w:rPr>
                          <w:t xml:space="preserve"> How are we doing? </w:t>
                        </w:r>
                        <w:hyperlink r:id="rId10" w:tooltip="Customer Satisfaction Survey" w:history="1">
                          <w:r>
                            <w:rPr>
                              <w:rStyle w:val="Hyperlink"/>
                              <w:rFonts w:ascii="Arial" w:hAnsi="Arial" w:cs="Arial"/>
                              <w:sz w:val="18"/>
                              <w:szCs w:val="18"/>
                            </w:rPr>
                            <w:t>Customer Satisfaction Survey</w:t>
                          </w:r>
                        </w:hyperlink>
                      </w:p>
                    </w:tc>
                  </w:tr>
                </w:tbl>
                <w:p w14:paraId="37382F58" w14:textId="77777777" w:rsidR="00B03233" w:rsidRDefault="00B03233">
                  <w:pPr>
                    <w:rPr>
                      <w:vanish/>
                    </w:rPr>
                  </w:pPr>
                </w:p>
                <w:tbl>
                  <w:tblPr>
                    <w:tblW w:w="3750" w:type="dxa"/>
                    <w:tblCellSpacing w:w="0" w:type="dxa"/>
                    <w:tblCellMar>
                      <w:left w:w="0" w:type="dxa"/>
                      <w:right w:w="0" w:type="dxa"/>
                    </w:tblCellMar>
                    <w:tblLook w:val="04A0" w:firstRow="1" w:lastRow="0" w:firstColumn="1" w:lastColumn="0" w:noHBand="0" w:noVBand="1"/>
                  </w:tblPr>
                  <w:tblGrid>
                    <w:gridCol w:w="1754"/>
                    <w:gridCol w:w="499"/>
                    <w:gridCol w:w="499"/>
                    <w:gridCol w:w="499"/>
                    <w:gridCol w:w="499"/>
                  </w:tblGrid>
                  <w:tr w:rsidR="00B03233" w14:paraId="10D25151" w14:textId="77777777">
                    <w:trPr>
                      <w:trHeight w:val="288"/>
                      <w:tblCellSpacing w:w="0" w:type="dxa"/>
                    </w:trPr>
                    <w:tc>
                      <w:tcPr>
                        <w:tcW w:w="0" w:type="auto"/>
                        <w:vAlign w:val="bottom"/>
                        <w:hideMark/>
                      </w:tcPr>
                      <w:p w14:paraId="017D0EE0" w14:textId="77777777" w:rsidR="00B03233" w:rsidRDefault="00B03233">
                        <w:pPr>
                          <w:pStyle w:val="NormalWeb"/>
                          <w:rPr>
                            <w:rFonts w:ascii="Arial" w:hAnsi="Arial" w:cs="Arial"/>
                            <w:color w:val="666666"/>
                            <w:sz w:val="18"/>
                            <w:szCs w:val="18"/>
                          </w:rPr>
                        </w:pPr>
                        <w:r>
                          <w:rPr>
                            <w:rFonts w:ascii="Arial" w:hAnsi="Arial" w:cs="Arial"/>
                            <w:color w:val="666666"/>
                            <w:sz w:val="18"/>
                            <w:szCs w:val="18"/>
                          </w:rPr>
                          <w:br/>
                          <w:t xml:space="preserve">GET UPDATES:  </w:t>
                        </w:r>
                      </w:p>
                    </w:tc>
                    <w:tc>
                      <w:tcPr>
                        <w:tcW w:w="0" w:type="auto"/>
                        <w:vAlign w:val="bottom"/>
                        <w:hideMark/>
                      </w:tcPr>
                      <w:p w14:paraId="35B05AED" w14:textId="77777777" w:rsidR="00B03233" w:rsidRDefault="00B03233">
                        <w:pPr>
                          <w:rPr>
                            <w:rFonts w:ascii="Arial" w:hAnsi="Arial" w:cs="Arial"/>
                            <w:color w:val="666666"/>
                            <w:sz w:val="18"/>
                            <w:szCs w:val="18"/>
                          </w:rPr>
                        </w:pPr>
                        <w:r>
                          <w:rPr>
                            <w:rFonts w:ascii="Arial" w:hAnsi="Arial" w:cs="Arial"/>
                            <w:noProof/>
                            <w:color w:val="0000FF"/>
                            <w:sz w:val="18"/>
                            <w:szCs w:val="18"/>
                          </w:rPr>
                          <w:drawing>
                            <wp:inline distT="0" distB="0" distL="0" distR="0" wp14:anchorId="7EA42F38" wp14:editId="7BB4857B">
                              <wp:extent cx="238125" cy="238125"/>
                              <wp:effectExtent l="0" t="0" r="9525" b="9525"/>
                              <wp:docPr id="6" name="Picture 6" descr="Sign up for email updates">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gn up for email updat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vAlign w:val="bottom"/>
                        <w:hideMark/>
                      </w:tcPr>
                      <w:p w14:paraId="499D0EBD" w14:textId="77777777" w:rsidR="00B03233" w:rsidRDefault="00B03233">
                        <w:pPr>
                          <w:rPr>
                            <w:rFonts w:ascii="Arial" w:hAnsi="Arial" w:cs="Arial"/>
                            <w:color w:val="666666"/>
                            <w:sz w:val="18"/>
                            <w:szCs w:val="18"/>
                          </w:rPr>
                        </w:pPr>
                        <w:r>
                          <w:rPr>
                            <w:rFonts w:ascii="Arial" w:hAnsi="Arial" w:cs="Arial"/>
                            <w:noProof/>
                            <w:color w:val="0000FF"/>
                            <w:sz w:val="18"/>
                            <w:szCs w:val="18"/>
                          </w:rPr>
                          <w:drawing>
                            <wp:inline distT="0" distB="0" distL="0" distR="0" wp14:anchorId="5771AF8D" wp14:editId="3F689568">
                              <wp:extent cx="247650" cy="238125"/>
                              <wp:effectExtent l="0" t="0" r="0" b="9525"/>
                              <wp:docPr id="5" name="Picture 5" descr="Visit us on Facebook">
                                <a:hlinkClick xmlns:a="http://schemas.openxmlformats.org/drawingml/2006/main" r:id="rId13" tgtFrame="_blank" tooltip="Find us on Faceboo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sit us on Faceboo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tc>
                    <w:tc>
                      <w:tcPr>
                        <w:tcW w:w="0" w:type="auto"/>
                        <w:vAlign w:val="bottom"/>
                        <w:hideMark/>
                      </w:tcPr>
                      <w:p w14:paraId="294B4965" w14:textId="77777777" w:rsidR="00B03233" w:rsidRDefault="00B03233">
                        <w:pPr>
                          <w:rPr>
                            <w:rFonts w:ascii="Arial" w:hAnsi="Arial" w:cs="Arial"/>
                            <w:color w:val="666666"/>
                            <w:sz w:val="18"/>
                            <w:szCs w:val="18"/>
                          </w:rPr>
                        </w:pPr>
                        <w:r>
                          <w:rPr>
                            <w:rFonts w:ascii="Arial" w:hAnsi="Arial" w:cs="Arial"/>
                            <w:noProof/>
                            <w:color w:val="0000FF"/>
                            <w:sz w:val="18"/>
                            <w:szCs w:val="18"/>
                          </w:rPr>
                          <w:drawing>
                            <wp:inline distT="0" distB="0" distL="0" distR="0" wp14:anchorId="2A3880D0" wp14:editId="54B270B8">
                              <wp:extent cx="247650" cy="238125"/>
                              <wp:effectExtent l="0" t="0" r="0" b="9525"/>
                              <wp:docPr id="4" name="Picture 4" descr="Visit us on Twitter">
                                <a:hlinkClick xmlns:a="http://schemas.openxmlformats.org/drawingml/2006/main" r:id="rId15" tgtFrame="_blank" tooltip="Find us on Twitt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sit us on Twitt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tc>
                    <w:tc>
                      <w:tcPr>
                        <w:tcW w:w="0" w:type="auto"/>
                        <w:vAlign w:val="bottom"/>
                        <w:hideMark/>
                      </w:tcPr>
                      <w:p w14:paraId="484B6E46" w14:textId="77777777" w:rsidR="00B03233" w:rsidRDefault="00B03233">
                        <w:pPr>
                          <w:rPr>
                            <w:rFonts w:ascii="Arial" w:hAnsi="Arial" w:cs="Arial"/>
                            <w:color w:val="666666"/>
                            <w:sz w:val="18"/>
                            <w:szCs w:val="18"/>
                          </w:rPr>
                        </w:pPr>
                        <w:r>
                          <w:rPr>
                            <w:rFonts w:ascii="Arial" w:hAnsi="Arial" w:cs="Arial"/>
                            <w:noProof/>
                            <w:color w:val="0000FF"/>
                            <w:sz w:val="18"/>
                            <w:szCs w:val="18"/>
                          </w:rPr>
                          <w:drawing>
                            <wp:inline distT="0" distB="0" distL="0" distR="0" wp14:anchorId="5C9B35C8" wp14:editId="496B2BEC">
                              <wp:extent cx="247650" cy="238125"/>
                              <wp:effectExtent l="0" t="0" r="0" b="9525"/>
                              <wp:docPr id="3" name="Picture 3" descr="Visit us on LinkedIn">
                                <a:hlinkClick xmlns:a="http://schemas.openxmlformats.org/drawingml/2006/main" r:id="rId17" tgtFrame="_blank" tooltip="Find us on Linked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sit us on LinkedI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tc>
                  </w:tr>
                </w:tbl>
                <w:p w14:paraId="6F865AC1" w14:textId="77777777" w:rsidR="00B03233" w:rsidRDefault="00B03233">
                  <w:pPr>
                    <w:pStyle w:val="NormalWeb"/>
                    <w:rPr>
                      <w:rFonts w:ascii="Arial" w:hAnsi="Arial" w:cs="Arial"/>
                      <w:color w:val="666666"/>
                      <w:sz w:val="18"/>
                      <w:szCs w:val="18"/>
                    </w:rPr>
                  </w:pPr>
                  <w:r>
                    <w:rPr>
                      <w:rFonts w:ascii="Arial" w:hAnsi="Arial" w:cs="Arial"/>
                      <w:color w:val="666666"/>
                      <w:sz w:val="18"/>
                      <w:szCs w:val="18"/>
                    </w:rPr>
                    <w:t>SUBSCRIBER SERVICES: </w:t>
                  </w:r>
                  <w:r>
                    <w:rPr>
                      <w:rFonts w:ascii="Arial" w:hAnsi="Arial" w:cs="Arial"/>
                      <w:noProof/>
                      <w:color w:val="0000FF"/>
                      <w:sz w:val="18"/>
                      <w:szCs w:val="18"/>
                    </w:rPr>
                    <w:drawing>
                      <wp:inline distT="0" distB="0" distL="0" distR="0" wp14:anchorId="2F80D6A6" wp14:editId="7CB776F1">
                        <wp:extent cx="790575" cy="152400"/>
                        <wp:effectExtent l="0" t="0" r="9525" b="0"/>
                        <wp:docPr id="2" name="Picture 2" descr="Bookmark and Share">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okmark and Shar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90575" cy="152400"/>
                                </a:xfrm>
                                <a:prstGeom prst="rect">
                                  <a:avLst/>
                                </a:prstGeom>
                                <a:noFill/>
                                <a:ln>
                                  <a:noFill/>
                                </a:ln>
                              </pic:spPr>
                            </pic:pic>
                          </a:graphicData>
                        </a:graphic>
                      </wp:inline>
                    </w:drawing>
                  </w:r>
                </w:p>
              </w:tc>
            </w:tr>
            <w:tr w:rsidR="00B03233" w14:paraId="222C74D4" w14:textId="77777777">
              <w:trPr>
                <w:trHeight w:val="300"/>
                <w:tblCellSpacing w:w="0" w:type="dxa"/>
                <w:jc w:val="center"/>
              </w:trPr>
              <w:tc>
                <w:tcPr>
                  <w:tcW w:w="0" w:type="auto"/>
                  <w:gridSpan w:val="2"/>
                  <w:vAlign w:val="center"/>
                  <w:hideMark/>
                </w:tcPr>
                <w:p w14:paraId="149E90FA" w14:textId="77777777" w:rsidR="00B03233" w:rsidRDefault="00B03233">
                  <w:pPr>
                    <w:jc w:val="center"/>
                    <w:rPr>
                      <w:rFonts w:eastAsia="Times New Roman"/>
                    </w:rPr>
                  </w:pPr>
                  <w:r>
                    <w:rPr>
                      <w:rFonts w:eastAsia="Times New Roman"/>
                    </w:rPr>
                    <w:pict w14:anchorId="255AF72F">
                      <v:rect id="_x0000_i1033" style="width:468pt;height:2.25pt" o:hralign="center" o:hrstd="t" o:hr="t" fillcolor="#a0a0a0" stroked="f"/>
                    </w:pict>
                  </w:r>
                </w:p>
              </w:tc>
            </w:tr>
            <w:tr w:rsidR="00B03233" w14:paraId="2C782049" w14:textId="77777777">
              <w:trPr>
                <w:tblCellSpacing w:w="0" w:type="dxa"/>
                <w:jc w:val="center"/>
              </w:trPr>
              <w:tc>
                <w:tcPr>
                  <w:tcW w:w="4450" w:type="pct"/>
                  <w:vAlign w:val="center"/>
                  <w:hideMark/>
                </w:tcPr>
                <w:p w14:paraId="1E8AB0B9" w14:textId="77777777" w:rsidR="00B03233" w:rsidRDefault="00B03233">
                  <w:pPr>
                    <w:rPr>
                      <w:rFonts w:ascii="Arial" w:hAnsi="Arial" w:cs="Arial"/>
                      <w:color w:val="757575"/>
                      <w:sz w:val="15"/>
                      <w:szCs w:val="15"/>
                    </w:rPr>
                  </w:pPr>
                  <w:r>
                    <w:rPr>
                      <w:rFonts w:ascii="Arial" w:hAnsi="Arial" w:cs="Arial"/>
                      <w:color w:val="757575"/>
                      <w:sz w:val="15"/>
                      <w:szCs w:val="15"/>
                    </w:rPr>
                    <w:t xml:space="preserve">This email was sent to </w:t>
                  </w:r>
                  <w:hyperlink r:id="rId21" w:history="1">
                    <w:r>
                      <w:rPr>
                        <w:rStyle w:val="Hyperlink"/>
                        <w:rFonts w:ascii="Arial" w:hAnsi="Arial" w:cs="Arial"/>
                        <w:sz w:val="15"/>
                        <w:szCs w:val="15"/>
                      </w:rPr>
                      <w:t>jean.keller@unt.edu</w:t>
                    </w:r>
                  </w:hyperlink>
                  <w:r>
                    <w:rPr>
                      <w:rFonts w:ascii="Arial" w:hAnsi="Arial" w:cs="Arial"/>
                      <w:color w:val="757575"/>
                      <w:sz w:val="15"/>
                      <w:szCs w:val="15"/>
                    </w:rPr>
                    <w:t xml:space="preserve"> using GovDelivery, on behalf of: the Texas Higher Education Coordinating Board · 1200 E. Anderson Lane, Austin, TX 78752  </w:t>
                  </w:r>
                </w:p>
              </w:tc>
              <w:tc>
                <w:tcPr>
                  <w:tcW w:w="550" w:type="pct"/>
                  <w:vAlign w:val="center"/>
                  <w:hideMark/>
                </w:tcPr>
                <w:p w14:paraId="49AA7C87" w14:textId="77777777" w:rsidR="00B03233" w:rsidRDefault="00B03233">
                  <w:pPr>
                    <w:jc w:val="right"/>
                  </w:pPr>
                  <w:r>
                    <w:rPr>
                      <w:noProof/>
                      <w:color w:val="0000FF"/>
                    </w:rPr>
                    <w:drawing>
                      <wp:inline distT="0" distB="0" distL="0" distR="0" wp14:anchorId="2DC994D3" wp14:editId="295F38D2">
                        <wp:extent cx="1095375" cy="333375"/>
                        <wp:effectExtent l="0" t="0" r="9525" b="9525"/>
                        <wp:docPr id="1" name="Picture 1" descr="Powered by GovDelivery">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owered by GovDelivery"/>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95375" cy="333375"/>
                                </a:xfrm>
                                <a:prstGeom prst="rect">
                                  <a:avLst/>
                                </a:prstGeom>
                                <a:noFill/>
                                <a:ln>
                                  <a:noFill/>
                                </a:ln>
                              </pic:spPr>
                            </pic:pic>
                          </a:graphicData>
                        </a:graphic>
                      </wp:inline>
                    </w:drawing>
                  </w:r>
                </w:p>
              </w:tc>
            </w:tr>
          </w:tbl>
          <w:p w14:paraId="177B50D0" w14:textId="77777777" w:rsidR="00B03233" w:rsidRDefault="00B03233">
            <w:pPr>
              <w:jc w:val="center"/>
              <w:rPr>
                <w:rFonts w:eastAsia="Times New Roman"/>
                <w:sz w:val="20"/>
                <w:szCs w:val="20"/>
              </w:rPr>
            </w:pPr>
          </w:p>
        </w:tc>
      </w:tr>
    </w:tbl>
    <w:p w14:paraId="2619EE65" w14:textId="77777777" w:rsidR="000C1E07" w:rsidRDefault="00B03233">
      <w:bookmarkStart w:id="0" w:name="_GoBack"/>
      <w:bookmarkEnd w:id="0"/>
    </w:p>
    <w:sectPr w:rsidR="000C1E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233"/>
    <w:rsid w:val="00243A20"/>
    <w:rsid w:val="0085626D"/>
    <w:rsid w:val="00B03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72C26"/>
  <w15:chartTrackingRefBased/>
  <w15:docId w15:val="{249BC8B4-C171-4B8A-81A8-6813019EF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233"/>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9"/>
    <w:semiHidden/>
    <w:unhideWhenUsed/>
    <w:qFormat/>
    <w:rsid w:val="00B0323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03233"/>
    <w:rPr>
      <w:rFonts w:ascii="Times New Roman" w:hAnsi="Times New Roman" w:cs="Times New Roman"/>
      <w:b/>
      <w:bCs/>
      <w:sz w:val="36"/>
      <w:szCs w:val="36"/>
    </w:rPr>
  </w:style>
  <w:style w:type="character" w:styleId="Hyperlink">
    <w:name w:val="Hyperlink"/>
    <w:basedOn w:val="DefaultParagraphFont"/>
    <w:uiPriority w:val="99"/>
    <w:semiHidden/>
    <w:unhideWhenUsed/>
    <w:rsid w:val="00B03233"/>
    <w:rPr>
      <w:color w:val="0000FF"/>
      <w:u w:val="single"/>
    </w:rPr>
  </w:style>
  <w:style w:type="paragraph" w:styleId="NormalWeb">
    <w:name w:val="Normal (Web)"/>
    <w:basedOn w:val="Normal"/>
    <w:uiPriority w:val="99"/>
    <w:semiHidden/>
    <w:unhideWhenUsed/>
    <w:rsid w:val="00B03233"/>
    <w:pPr>
      <w:spacing w:before="100" w:beforeAutospacing="1" w:after="100" w:afterAutospacing="1"/>
    </w:pPr>
  </w:style>
  <w:style w:type="character" w:styleId="Strong">
    <w:name w:val="Strong"/>
    <w:basedOn w:val="DefaultParagraphFont"/>
    <w:uiPriority w:val="22"/>
    <w:qFormat/>
    <w:rsid w:val="00B032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4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links.govdelivery.com/track?type=click&amp;enid=ZWFzPTEmbXNpZD0mYXVpZD0mbWFpbGluZ2lkPTIwMTcwNTA1LjczMDYwNDQxJm1lc3NhZ2VpZD1NREItUFJELUJVTC0yMDE3MDUwNS43MzA2MDQ0MSZkYXRhYmFzZWlkPTEwMDEmc2VyaWFsPTE2OTIyNDc2JmVtYWlsaWQ9amVhbi5rZWxsZXJAdW50LmVkdSZ1c2VyaWQ9amVhbi5rZWxsZXJAdW50LmVkdSZ0YXJnZXRpZD0mZmw9JmV4dHJhPU11bHRpdmFyaWF0ZUlkPSYmJg==&amp;&amp;&amp;106&amp;&amp;&amp;https://www.facebook.com/TexasHigherEdCoordinatingBoard?ref=hl" TargetMode="External"/><Relationship Id="rId18" Type="http://schemas.openxmlformats.org/officeDocument/2006/relationships/image" Target="media/image6.gif"/><Relationship Id="rId3" Type="http://schemas.openxmlformats.org/officeDocument/2006/relationships/webSettings" Target="webSettings.xml"/><Relationship Id="rId21" Type="http://schemas.openxmlformats.org/officeDocument/2006/relationships/hyperlink" Target="mailto:jean.keller@unt.edu" TargetMode="External"/><Relationship Id="rId7" Type="http://schemas.openxmlformats.org/officeDocument/2006/relationships/hyperlink" Target="http://links.govdelivery.com/track?type=click&amp;enid=ZWFzPTEmbXNpZD0mYXVpZD0mbWFpbGluZ2lkPTIwMTcwNTA1LjczMDYwNDQxJm1lc3NhZ2VpZD1NREItUFJELUJVTC0yMDE3MDUwNS43MzA2MDQ0MSZkYXRhYmFzZWlkPTEwMDEmc2VyaWFsPTE2OTIyNDc2JmVtYWlsaWQ9amVhbi5rZWxsZXJAdW50LmVkdSZ1c2VyaWQ9amVhbi5rZWxsZXJAdW50LmVkdSZ0YXJnZXRpZD0mZmw9JmV4dHJhPU11bHRpdmFyaWF0ZUlkPSYmJg==&amp;&amp;&amp;101&amp;&amp;&amp;http://www.thecb.state.tx.us/" TargetMode="External"/><Relationship Id="rId12" Type="http://schemas.openxmlformats.org/officeDocument/2006/relationships/image" Target="media/image3.gif"/><Relationship Id="rId17" Type="http://schemas.openxmlformats.org/officeDocument/2006/relationships/hyperlink" Target="http://links.govdelivery.com/track?type=click&amp;enid=ZWFzPTEmbXNpZD0mYXVpZD0mbWFpbGluZ2lkPTIwMTcwNTA1LjczMDYwNDQxJm1lc3NhZ2VpZD1NREItUFJELUJVTC0yMDE3MDUwNS43MzA2MDQ0MSZkYXRhYmFzZWlkPTEwMDEmc2VyaWFsPTE2OTIyNDc2JmVtYWlsaWQ9amVhbi5rZWxsZXJAdW50LmVkdSZ1c2VyaWQ9amVhbi5rZWxsZXJAdW50LmVkdSZ0YXJnZXRpZD0mZmw9JmV4dHJhPU11bHRpdmFyaWF0ZUlkPSYmJg==&amp;&amp;&amp;108&amp;&amp;&amp;https://www.linkedin.com/company/texas-higher-education-coordinating-board"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5.gif"/><Relationship Id="rId20" Type="http://schemas.openxmlformats.org/officeDocument/2006/relationships/image" Target="media/image7.gif"/><Relationship Id="rId1" Type="http://schemas.openxmlformats.org/officeDocument/2006/relationships/styles" Target="styles.xml"/><Relationship Id="rId6" Type="http://schemas.openxmlformats.org/officeDocument/2006/relationships/hyperlink" Target="mailto:Kathy.Zarate@thecb.state.tx.us" TargetMode="External"/><Relationship Id="rId11" Type="http://schemas.openxmlformats.org/officeDocument/2006/relationships/hyperlink" Target="http://links.govdelivery.com/track?type=click&amp;enid=ZWFzPTEmbXNpZD0mYXVpZD0mbWFpbGluZ2lkPTIwMTcwNTA1LjczMDYwNDQxJm1lc3NhZ2VpZD1NREItUFJELUJVTC0yMDE3MDUwNS43MzA2MDQ0MSZkYXRhYmFzZWlkPTEwMDEmc2VyaWFsPTE2OTIyNDc2JmVtYWlsaWQ9amVhbi5rZWxsZXJAdW50LmVkdSZ1c2VyaWQ9amVhbi5rZWxsZXJAdW50LmVkdSZ0YXJnZXRpZD0mZmw9JmV4dHJhPU11bHRpdmFyaWF0ZUlkPSYmJg==&amp;&amp;&amp;105&amp;&amp;&amp;https://public.govdelivery.com/accounts/TXHECB/subscriber/new" TargetMode="External"/><Relationship Id="rId24" Type="http://schemas.openxmlformats.org/officeDocument/2006/relationships/fontTable" Target="fontTable.xml"/><Relationship Id="rId5" Type="http://schemas.openxmlformats.org/officeDocument/2006/relationships/hyperlink" Target="http://links.govdelivery.com:80/track?type=click&amp;enid=ZWFzPTEmbXNpZD0mYXVpZD0mbWFpbGluZ2lkPTIwMTcwNTA1LjczMDYwNDQxJm1lc3NhZ2VpZD1NREItUFJELUJVTC0yMDE3MDUwNS43MzA2MDQ0MSZkYXRhYmFzZWlkPTEwMDEmc2VyaWFsPTE2OTIyNDc2JmVtYWlsaWQ9amVhbi5rZWxsZXJAdW50LmVkdSZ1c2VyaWQ9amVhbi5rZWxsZXJAdW50LmVkdSZ0YXJnZXRpZD0mZmw9JmV4dHJhPU11bHRpdmFyaWF0ZUlkPSYmJg==&amp;&amp;&amp;100&amp;&amp;&amp;https://content.govdelivery.com/accounts/TXHECB/bulletins/198b4fd" TargetMode="External"/><Relationship Id="rId15" Type="http://schemas.openxmlformats.org/officeDocument/2006/relationships/hyperlink" Target="http://links.govdelivery.com/track?type=click&amp;enid=ZWFzPTEmbXNpZD0mYXVpZD0mbWFpbGluZ2lkPTIwMTcwNTA1LjczMDYwNDQxJm1lc3NhZ2VpZD1NREItUFJELUJVTC0yMDE3MDUwNS43MzA2MDQ0MSZkYXRhYmFzZWlkPTEwMDEmc2VyaWFsPTE2OTIyNDc2JmVtYWlsaWQ9amVhbi5rZWxsZXJAdW50LmVkdSZ1c2VyaWQ9amVhbi5rZWxsZXJAdW50LmVkdSZ0YXJnZXRpZD0mZmw9JmV4dHJhPU11bHRpdmFyaWF0ZUlkPSYmJg==&amp;&amp;&amp;107&amp;&amp;&amp;https://twitter.com/TXHigherEdBoard" TargetMode="External"/><Relationship Id="rId23" Type="http://schemas.openxmlformats.org/officeDocument/2006/relationships/image" Target="media/image8.gif"/><Relationship Id="rId10" Type="http://schemas.openxmlformats.org/officeDocument/2006/relationships/hyperlink" Target="http://links.govdelivery.com:80/track?type=click&amp;enid=ZWFzPTEmbXNpZD0mYXVpZD0mbWFpbGluZ2lkPTIwMTcwNTA1LjczMDYwNDQxJm1lc3NhZ2VpZD1NREItUFJELUJVTC0yMDE3MDUwNS43MzA2MDQ0MSZkYXRhYmFzZWlkPTEwMDEmc2VyaWFsPTE2OTIyNDc2JmVtYWlsaWQ9amVhbi5rZWxsZXJAdW50LmVkdSZ1c2VyaWQ9amVhbi5rZWxsZXJAdW50LmVkdSZ0YXJnZXRpZD0mZmw9JmV4dHJhPU11bHRpdmFyaWF0ZUlkPSYmJg==&amp;&amp;&amp;103&amp;&amp;&amp;http://www.thecb.state.tx.us/apps/CustomerService/" TargetMode="External"/><Relationship Id="rId19" Type="http://schemas.openxmlformats.org/officeDocument/2006/relationships/hyperlink" Target="http://links.govdelivery.com/track?type=click&amp;enid=ZWFzPTEmbXNpZD0mYXVpZD0mbWFpbGluZ2lkPTIwMTcwNTA1LjczMDYwNDQxJm1lc3NhZ2VpZD1NREItUFJELUJVTC0yMDE3MDUwNS43MzA2MDQ0MSZkYXRhYmFzZWlkPTEwMDEmc2VyaWFsPTE2OTIyNDc2JmVtYWlsaWQ9amVhbi5rZWxsZXJAdW50LmVkdSZ1c2VyaWQ9amVhbi5rZWxsZXJAdW50LmVkdSZ0YXJnZXRpZD0mZmw9JmV4dHJhPU11bHRpdmFyaWF0ZUlkPSYmJg==&amp;&amp;&amp;109&amp;&amp;&amp;https://content.govdelivery.com/accounts/TXHECB/bulletins/198b4fd?reqfrom=share" TargetMode="External"/><Relationship Id="rId4" Type="http://schemas.openxmlformats.org/officeDocument/2006/relationships/image" Target="media/image1.jpeg"/><Relationship Id="rId9" Type="http://schemas.openxmlformats.org/officeDocument/2006/relationships/hyperlink" Target="http://links.govdelivery.com:80/track?type=click&amp;enid=ZWFzPTEmbXNpZD0mYXVpZD0mbWFpbGluZ2lkPTIwMTcwNTA1LjczMDYwNDQxJm1lc3NhZ2VpZD1NREItUFJELUJVTC0yMDE3MDUwNS43MzA2MDQ0MSZkYXRhYmFzZWlkPTEwMDEmc2VyaWFsPTE2OTIyNDc2JmVtYWlsaWQ9amVhbi5rZWxsZXJAdW50LmVkdSZ1c2VyaWQ9amVhbi5rZWxsZXJAdW50LmVkdSZ0YXJnZXRpZD0mZmw9JmV4dHJhPU11bHRpdmFyaWF0ZUlkPSYmJg==&amp;&amp;&amp;102&amp;&amp;&amp;https://www1.thecb.state.tx.us/WWW/comments/" TargetMode="External"/><Relationship Id="rId14" Type="http://schemas.openxmlformats.org/officeDocument/2006/relationships/image" Target="media/image4.gif"/><Relationship Id="rId22" Type="http://schemas.openxmlformats.org/officeDocument/2006/relationships/hyperlink" Target="http://links.govdelivery.com/track?type=click&amp;enid=ZWFzPTEmbXNpZD0mYXVpZD0mbWFpbGluZ2lkPTIwMTcwNTA1LjczMDYwNDQxJm1lc3NhZ2VpZD1NREItUFJELUJVTC0yMDE3MDUwNS43MzA2MDQ0MSZkYXRhYmFzZWlkPTEwMDEmc2VyaWFsPTE2OTIyNDc2JmVtYWlsaWQ9amVhbi5rZWxsZXJAdW50LmVkdSZ1c2VyaWQ9amVhbi5rZWxsZXJAdW50LmVkdSZ0YXJnZXRpZD0mZmw9JmV4dHJhPU11bHRpdmFyaWF0ZUlkPSYmJg==&amp;&amp;&amp;110&amp;&amp;&amp;http://www.govdelivery.com/portals/powered-b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2918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Basey, Melodie</dc:creator>
  <cp:keywords/>
  <dc:description/>
  <cp:lastModifiedBy>Basey, Melodie</cp:lastModifiedBy>
  <cp:revision>1</cp:revision>
  <dcterms:created xsi:type="dcterms:W3CDTF">2017-05-08T15:44:00Z</dcterms:created>
  <dcterms:modified xsi:type="dcterms:W3CDTF">2017-05-08T15:44:00Z</dcterms:modified>
</cp:coreProperties>
</file>